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Khanna Raj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2121 RDU CENTER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EXTREME NETWORKS INC</w:t>
              </w:r>
            </w:hyperlink>
            <w:r>
              <w:rPr/>
              <w:t xml:space="preserve"> [ </w:t>
            </w:r>
            <w:r>
              <w:rPr>
                <w:rFonts w:ascii="Times;serif" w:hAnsi="Times;serif"/>
                <w:color w:val="0000FF"/>
                <w:sz w:val="24"/>
                <w:shd w:fill="FFFFFF" w:val="clear"/>
              </w:rPr>
              <w:t>EXTR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24.2001</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195,062</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the Reporting Person's 10b5-1 Plan dated 09/02/2025.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$24.2000 to $24.2050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in The Khanna 2002 Revocable Trust. Raj Khanna and Madhu Khanna, Trustees.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Ricks, Power of Attorney for Raj Khanna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28567" TargetMode="External"/><Relationship Id="rId5" Type="http://schemas.openxmlformats.org/officeDocument/2006/relationships/hyperlink" Target="http://www.sec.gov/cgi-bin/browse-edgar?action=getcompany&amp;CIK=00010782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3608</Characters>
  <CharactersWithSpaces>4207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